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center"/>
        <w:rPr>
          <w:rFonts w:hint="eastAsia" w:asciiTheme="minorEastAsia" w:hAnsiTheme="minorEastAsia" w:eastAsiaTheme="minorEastAsia" w:cstheme="minorEastAsia"/>
          <w:b/>
          <w:color w:val="333333"/>
          <w:sz w:val="28"/>
          <w:szCs w:val="28"/>
          <w:lang w:val="en-US" w:eastAsia="zh-CN"/>
        </w:rPr>
      </w:pP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人社局</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Theme="minorEastAsia" w:hAnsiTheme="minorEastAsia" w:eastAsiaTheme="minorEastAsia" w:cstheme="minorEastAsia"/>
          <w:color w:val="333333"/>
          <w:sz w:val="28"/>
          <w:szCs w:val="28"/>
          <w:shd w:val="clear" w:fill="FFFFFF"/>
        </w:rPr>
        <w:t> </w:t>
      </w:r>
      <w:r>
        <w:rPr>
          <w:rFonts w:hint="eastAsia" w:ascii="宋体" w:hAnsi="宋体" w:eastAsia="宋体" w:cs="宋体"/>
          <w:color w:val="000000" w:themeColor="text1"/>
          <w:kern w:val="0"/>
          <w:sz w:val="28"/>
          <w:szCs w:val="28"/>
          <w:lang w:val="en-US" w:eastAsia="zh-CN" w:bidi="ar"/>
          <w14:textFill>
            <w14:solidFill>
              <w14:schemeClr w14:val="tx1"/>
            </w14:solidFill>
          </w14:textFill>
        </w:rPr>
        <w:t>（一）贯彻执行国家和省市人力资源和社会保障事业发展规划及相关法律、法规、规章和政策，会同有关部门拟订全县人力资源和社会保障事业发展规划、相关政策并组织实施和监督检查。</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（二）拟订和实施全县人力资源市场发展规划和人力资源流动政策，建立全县统一规范的人力资源市场，促进人力资源合理流动、有效配置。</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三）负责促进就业工作。拟订统筹城乡的就业发展规划和政策，完善公共就业服务体系，组织落实就业援助制度；完善职业资格制度，统筹建立面向城乡劳动者的职业培训制度；协调指导技工学校工作；会同有关部门拟订高校毕业生就业计划以及高技能人才、农村实用人才培养和激励政策；拟订乡（镇）、社区就业工作发展规划，指导基层工作体系建设；拟定创业促就业工作发展规划并组织实施；负责创业服务体系建设工作。</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四）统筹建立覆盖城乡的社会保障体系；贯彻执行城乡社会保险及其补充保险政策、标准和机关企事业单位基本养老保险政策；贯彻执行社会保险及其补充保险基金管理和监督办法，编制全县社会保险基金预决算方案；贯彻执行社会保障基金保值增值运营政策和实施办法。</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（五）负责就业、失业、社会保险基金预测预警和信息指导；拟订应对预案，实施预防、调节和控制，保持就业形势稳定和社会保险基金总体收支平衡。</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六）贯彻执行国家和省市关于机关和事业单位人员工资收入分配政策和福利与离退休政策；会同有关部门拟订全县事业单位人员工资收入分配制度改革实施办法，建立机关、企事业单位人员工资正常增长和支付保障机制。</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七）会同有关部门指导事业单位人事制度改革。执行事业单位人员和机关工勤人员管理政策，参与人才管理工作；制定专业技术人员管理办法和继续教育规划；牵头推进深化职称制度改革工作；负责高层次专业技术人才选拔和培养工作；拟订吸引国内外专家、留学人员来我县工作及定居政策。</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（八）按国家和省市的有关政策拟订军队转业干部安置计划；负责组织军队转业干部参加培训工作；负责实施企业军队转业干部解困和稳定政策；负责自主择业军队转业干部管理服务工作。</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（九）贯彻执行国家和省市公务员管理的各项政策法规。根据干部管理权限，负责行政机关公务员综合管理；提出特殊人员调配安置建议，会同有关部门组织落实国家荣誉制度，拟订并组织实施政府奖励制度。</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（十）会同有关部门拟订农民工工作综合性政策和规划，推动农民工相关政策的落实，协调解决重点、难点问题，维护农民工合法权益。</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十一）统筹实施人事、劳动争议仲裁调解制度。拟订劳动关系政策，完善劳动关系协调机制，落实消除非法使用童工政策和女工、未成年工的特殊劳动保护政策，组织实施劳动监察，协调劳动者维权工作，依法处理人事、劳动争议案件。</w:t>
      </w:r>
      <w:bookmarkStart w:id="0" w:name="_GoBack"/>
      <w:bookmarkEnd w:id="0"/>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（十二）受理人事、劳动信访事项，会同有关部门协调处理有关人事、劳动方面的重大信访事件或突发事件。</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（十三）负责引进国内外智力工作。</w:t>
      </w:r>
    </w:p>
    <w:p>
      <w:pPr>
        <w:keepNext w:val="0"/>
        <w:keepLines w:val="0"/>
        <w:pageBreakBefore w:val="0"/>
        <w:kinsoku/>
        <w:wordWrap/>
        <w:overflowPunct/>
        <w:topLinePunct w:val="0"/>
        <w:autoSpaceDE/>
        <w:autoSpaceDN/>
        <w:bidi w:val="0"/>
        <w:adjustRightInd/>
        <w:snapToGrid/>
        <w:spacing w:line="500" w:lineRule="exact"/>
        <w:ind w:firstLine="630"/>
        <w:textAlignment w:val="auto"/>
        <w:outlineLvl w:val="9"/>
        <w:rPr>
          <w:rFonts w:hint="eastAsia" w:asciiTheme="minorEastAsia" w:hAnsiTheme="minorEastAsia" w:eastAsiaTheme="minorEastAsia" w:cstheme="minorEastAsia"/>
          <w:sz w:val="28"/>
          <w:szCs w:val="28"/>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（十四）承办县政府交办的其他事项。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cstheme="minorEastAsia"/>
          <w:color w:val="333333"/>
          <w:sz w:val="28"/>
          <w:szCs w:val="28"/>
          <w:lang w:val="en-US" w:eastAsia="zh-CN"/>
        </w:rPr>
        <w:t>11</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cstheme="minorEastAsia"/>
          <w:color w:val="333333"/>
          <w:sz w:val="28"/>
          <w:szCs w:val="28"/>
          <w:lang w:val="en-US" w:eastAsia="zh-CN"/>
        </w:rPr>
        <w:t>39</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20人</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16</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19</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19</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18</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3,516.486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3,509.785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241.474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6.87</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234.773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6.69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3,516.486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3,516.486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3,509.785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463.528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13.21</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3046.257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86.79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3,516.486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241.474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6.87</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3,509.785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234.773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6.69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3,509.785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234.773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6.69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3,509.785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2,939.866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83.762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41.202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1.174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3.988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0.114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15.352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0.437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lang w:eastAsia="zh-CN"/>
        </w:rPr>
        <w:t>教育支出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60.000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1.709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lang w:eastAsia="zh-CN"/>
        </w:rPr>
        <w:t>一般公共服务支出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449.377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12.804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311.42万</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3,509.785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1127.03</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eastAsia="zh-CN"/>
        </w:rPr>
        <w:t>职工</w:t>
      </w:r>
      <w:r>
        <w:rPr>
          <w:rFonts w:hint="eastAsia" w:asciiTheme="minorEastAsia" w:hAnsiTheme="minorEastAsia" w:eastAsiaTheme="minorEastAsia" w:cstheme="minorEastAsia"/>
          <w:i w:val="0"/>
          <w:caps w:val="0"/>
          <w:color w:val="373737"/>
          <w:spacing w:val="0"/>
          <w:sz w:val="28"/>
          <w:szCs w:val="28"/>
          <w:shd w:val="clear" w:fill="FFFFFF"/>
          <w:vertAlign w:val="baseline"/>
        </w:rPr>
        <w:t>工资</w:t>
      </w:r>
      <w:r>
        <w:rPr>
          <w:rFonts w:hint="eastAsia" w:asciiTheme="minorEastAsia" w:hAnsiTheme="minorEastAsia" w:cstheme="minorEastAsia"/>
          <w:i w:val="0"/>
          <w:caps w:val="0"/>
          <w:color w:val="373737"/>
          <w:spacing w:val="0"/>
          <w:sz w:val="28"/>
          <w:szCs w:val="28"/>
          <w:shd w:val="clear" w:fill="FFFFFF"/>
          <w:vertAlign w:val="baseline"/>
          <w:lang w:eastAsia="zh-CN"/>
        </w:rPr>
        <w:t>和离退休费</w:t>
      </w:r>
      <w:r>
        <w:rPr>
          <w:rFonts w:hint="eastAsia" w:asciiTheme="minorEastAsia" w:hAnsiTheme="minorEastAsia" w:eastAsiaTheme="minorEastAsia" w:cstheme="minorEastAsia"/>
          <w:i w:val="0"/>
          <w:caps w:val="0"/>
          <w:color w:val="373737"/>
          <w:spacing w:val="0"/>
          <w:sz w:val="28"/>
          <w:szCs w:val="28"/>
          <w:shd w:val="clear" w:fill="FFFFFF"/>
          <w:vertAlign w:val="baseline"/>
        </w:rPr>
        <w:t>的增</w:t>
      </w:r>
      <w:r>
        <w:rPr>
          <w:rFonts w:hint="eastAsia" w:asciiTheme="minorEastAsia" w:hAnsiTheme="minorEastAsia" w:cstheme="minorEastAsia"/>
          <w:i w:val="0"/>
          <w:caps w:val="0"/>
          <w:color w:val="373737"/>
          <w:spacing w:val="0"/>
          <w:sz w:val="28"/>
          <w:szCs w:val="28"/>
          <w:shd w:val="clear" w:fill="FFFFFF"/>
          <w:vertAlign w:val="baseline"/>
          <w:lang w:eastAsia="zh-CN"/>
        </w:rPr>
        <w:t>加，</w:t>
      </w:r>
      <w:r>
        <w:rPr>
          <w:rFonts w:hint="eastAsia" w:asciiTheme="minorEastAsia" w:hAnsiTheme="minorEastAsia" w:eastAsiaTheme="minorEastAsia" w:cstheme="minorEastAsia"/>
          <w:i w:val="0"/>
          <w:caps w:val="0"/>
          <w:color w:val="373737"/>
          <w:spacing w:val="0"/>
          <w:sz w:val="28"/>
          <w:szCs w:val="28"/>
          <w:shd w:val="clear" w:fill="FFFFFF"/>
          <w:vertAlign w:val="baseline"/>
        </w:rPr>
        <w:t>住房公积金、住房提租补贴相应的缴</w:t>
      </w:r>
      <w:r>
        <w:rPr>
          <w:rFonts w:hint="eastAsia" w:asciiTheme="minorEastAsia" w:hAnsiTheme="minorEastAsia" w:cstheme="minorEastAsia"/>
          <w:i w:val="0"/>
          <w:caps w:val="0"/>
          <w:color w:val="373737"/>
          <w:spacing w:val="0"/>
          <w:sz w:val="28"/>
          <w:szCs w:val="28"/>
          <w:shd w:val="clear" w:fill="FFFFFF"/>
          <w:vertAlign w:val="baseline"/>
          <w:lang w:eastAsia="zh-CN"/>
        </w:rPr>
        <w:t>费</w:t>
      </w:r>
      <w:r>
        <w:rPr>
          <w:rFonts w:hint="eastAsia" w:asciiTheme="minorEastAsia" w:hAnsiTheme="minorEastAsia" w:eastAsiaTheme="minorEastAsia" w:cstheme="minorEastAsia"/>
          <w:i w:val="0"/>
          <w:caps w:val="0"/>
          <w:color w:val="373737"/>
          <w:spacing w:val="0"/>
          <w:sz w:val="28"/>
          <w:szCs w:val="28"/>
          <w:shd w:val="clear" w:fill="FFFFFF"/>
          <w:vertAlign w:val="baseline"/>
        </w:rPr>
        <w:t>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Style w:val="5"/>
          <w:rFonts w:hint="default" w:asciiTheme="minorEastAsia" w:hAnsiTheme="minorEastAsia" w:eastAsiaTheme="minorEastAsia" w:cstheme="minorEastAsia"/>
          <w:b/>
          <w:i w:val="0"/>
          <w:caps w:val="0"/>
          <w:color w:val="000000" w:themeColor="text1"/>
          <w:spacing w:val="0"/>
          <w:sz w:val="28"/>
          <w:szCs w:val="28"/>
          <w:shd w:val="clear" w:fill="FFFFFF"/>
          <w:vertAlign w:val="baseline"/>
          <w:lang w:val="en-US" w:eastAsia="zh-CN"/>
          <w14:textFill>
            <w14:solidFill>
              <w14:schemeClr w14:val="tx1"/>
            </w14:solidFill>
          </w14:textFill>
        </w:rPr>
      </w:pPr>
      <w:r>
        <w:rPr>
          <w:rStyle w:val="5"/>
          <w:rFonts w:hint="eastAsia" w:asciiTheme="minorEastAsia" w:hAnsiTheme="minorEastAsia" w:cstheme="minorEastAsia"/>
          <w:b/>
          <w:i w:val="0"/>
          <w:caps w:val="0"/>
          <w:color w:val="000000" w:themeColor="text1"/>
          <w:spacing w:val="0"/>
          <w:sz w:val="28"/>
          <w:szCs w:val="28"/>
          <w:shd w:val="clear" w:fill="FFFFFF"/>
          <w:vertAlign w:val="baseline"/>
          <w:lang w:val="en-US" w:eastAsia="zh-CN"/>
          <w14:textFill>
            <w14:solidFill>
              <w14:schemeClr w14:val="tx1"/>
            </w14:solidFill>
          </w14:textFill>
        </w:rPr>
        <w:t xml:space="preserve"> </w:t>
      </w:r>
      <w:r>
        <w:rPr>
          <w:rStyle w:val="5"/>
          <w:rFonts w:hint="eastAsia" w:asciiTheme="minorEastAsia" w:hAnsiTheme="minorEastAsia" w:eastAsiaTheme="minorEastAsia" w:cstheme="minorEastAsia"/>
          <w:b/>
          <w:i w:val="0"/>
          <w:caps w:val="0"/>
          <w:color w:val="000000" w:themeColor="text1"/>
          <w:spacing w:val="0"/>
          <w:sz w:val="28"/>
          <w:szCs w:val="28"/>
          <w:shd w:val="clear" w:fill="FFFFFF"/>
          <w:vertAlign w:val="baseline"/>
          <w14:textFill>
            <w14:solidFill>
              <w14:schemeClr w14:val="tx1"/>
            </w14:solidFill>
          </w14:textFill>
        </w:rPr>
        <w:t>一般公共服务支出（类）人力资源事务（款）行政运行（项）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年初预算为311.42万元，支出决算为37</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1.675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万元，完成年初预算的1</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19</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35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%。决算数大于预算数的主要原因单位业务量增加，使得单位支出增加。</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Style w:val="5"/>
          <w:rFonts w:hint="default" w:asciiTheme="minorEastAsia" w:hAnsiTheme="minorEastAsia" w:eastAsiaTheme="minorEastAsia" w:cstheme="minorEastAsia"/>
          <w:b/>
          <w:i w:val="0"/>
          <w:caps w:val="0"/>
          <w:color w:val="000000" w:themeColor="text1"/>
          <w:spacing w:val="0"/>
          <w:sz w:val="28"/>
          <w:szCs w:val="28"/>
          <w:shd w:val="clear" w:fill="FFFFFF"/>
          <w:vertAlign w:val="baseline"/>
          <w:lang w:val="en-US" w:eastAsia="zh-CN"/>
          <w14:textFill>
            <w14:solidFill>
              <w14:schemeClr w14:val="tx1"/>
            </w14:solidFill>
          </w14:textFill>
        </w:rPr>
      </w:pPr>
      <w:r>
        <w:rPr>
          <w:rStyle w:val="5"/>
          <w:rFonts w:hint="eastAsia" w:asciiTheme="minorEastAsia" w:hAnsiTheme="minorEastAsia" w:cstheme="minorEastAsia"/>
          <w:b/>
          <w:i w:val="0"/>
          <w:caps w:val="0"/>
          <w:color w:val="000000" w:themeColor="text1"/>
          <w:spacing w:val="0"/>
          <w:sz w:val="28"/>
          <w:szCs w:val="28"/>
          <w:shd w:val="clear" w:fill="FFFFFF"/>
          <w:vertAlign w:val="baseline"/>
          <w:lang w:val="en-US" w:eastAsia="zh-CN"/>
          <w14:textFill>
            <w14:solidFill>
              <w14:schemeClr w14:val="tx1"/>
            </w14:solidFill>
          </w14:textFill>
        </w:rPr>
        <w:t xml:space="preserve"> </w:t>
      </w:r>
      <w:r>
        <w:rPr>
          <w:rStyle w:val="5"/>
          <w:rFonts w:hint="eastAsia" w:asciiTheme="minorEastAsia" w:hAnsiTheme="minorEastAsia" w:eastAsiaTheme="minorEastAsia" w:cstheme="minorEastAsia"/>
          <w:b/>
          <w:i w:val="0"/>
          <w:caps w:val="0"/>
          <w:color w:val="000000" w:themeColor="text1"/>
          <w:spacing w:val="0"/>
          <w:sz w:val="28"/>
          <w:szCs w:val="28"/>
          <w:shd w:val="clear" w:fill="FFFFFF"/>
          <w:vertAlign w:val="baseline"/>
          <w14:textFill>
            <w14:solidFill>
              <w14:schemeClr w14:val="tx1"/>
            </w14:solidFill>
          </w14:textFill>
        </w:rPr>
        <w:t>一般公共服务支出（类）人力资源事务（款）一般行政管理事务（项）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default"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年初预算为0万元，支出决算为65.7</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3</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万元，完成年初预算的100%。</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default" w:asciiTheme="minorEastAsia" w:hAnsiTheme="minorEastAsia" w:eastAsiaTheme="minorEastAsia" w:cstheme="minorEastAsia"/>
          <w:i w:val="0"/>
          <w:caps w:val="0"/>
          <w:color w:val="000000" w:themeColor="text1"/>
          <w:spacing w:val="0"/>
          <w:sz w:val="28"/>
          <w:szCs w:val="28"/>
          <w:shd w:val="clear" w:fill="FFFFFF"/>
          <w:vertAlign w:val="baseline"/>
          <w:lang w:val="en-US" w:eastAsia="zh-CN"/>
          <w14:textFill>
            <w14:solidFill>
              <w14:schemeClr w14:val="tx1"/>
            </w14:solidFill>
          </w14:textFill>
        </w:rPr>
      </w:pPr>
      <w:r>
        <w:rPr>
          <w:rStyle w:val="5"/>
          <w:rFonts w:hint="eastAsia" w:asciiTheme="minorEastAsia" w:hAnsiTheme="minorEastAsia" w:cstheme="minorEastAsia"/>
          <w:b/>
          <w:i w:val="0"/>
          <w:caps w:val="0"/>
          <w:color w:val="000000" w:themeColor="text1"/>
          <w:spacing w:val="0"/>
          <w:sz w:val="28"/>
          <w:szCs w:val="28"/>
          <w:shd w:val="clear" w:fill="FFFFFF"/>
          <w:vertAlign w:val="baseline"/>
          <w:lang w:val="en-US" w:eastAsia="zh-CN"/>
          <w14:textFill>
            <w14:solidFill>
              <w14:schemeClr w14:val="tx1"/>
            </w14:solidFill>
          </w14:textFill>
        </w:rPr>
        <w:t xml:space="preserve"> </w:t>
      </w:r>
      <w:r>
        <w:rPr>
          <w:rStyle w:val="5"/>
          <w:rFonts w:hint="eastAsia" w:asciiTheme="minorEastAsia" w:hAnsiTheme="minorEastAsia" w:eastAsiaTheme="minorEastAsia" w:cstheme="minorEastAsia"/>
          <w:b/>
          <w:i w:val="0"/>
          <w:caps w:val="0"/>
          <w:color w:val="000000" w:themeColor="text1"/>
          <w:spacing w:val="0"/>
          <w:sz w:val="28"/>
          <w:szCs w:val="28"/>
          <w:shd w:val="clear" w:fill="FFFFFF"/>
          <w:vertAlign w:val="baseline"/>
          <w14:textFill>
            <w14:solidFill>
              <w14:schemeClr w14:val="tx1"/>
            </w14:solidFill>
          </w14:textFill>
        </w:rPr>
        <w:t>一般公共服务支出（类）人力资源事务（款）其他人力资源事务支出（项）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default"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年初预算为0万元，支出决算为12</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万元，完成年初预算的100%。</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 社会保障和就业（类）行政事业单位离退休（款） 机关事业单位基本养老保险缴费支出（项）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年初预算为22.39万元，支出决算为22.3</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万元，完成年初预算的100%。</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社会保障和就业（类）行政事业单位离退休（款） 其他行政事业单位离退休支出（项）。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年初预算为54.14万元，支出决算为54.14万元，完成年初预算的100%。</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社会保障和就业（类）就业补助（款）  就业创业服务补贴（项）。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年初预算为0万元，支出决算为50.2</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7</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万元，完成年初预算的100%。</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leftChars="0" w:right="0" w:firstLine="630" w:firstLineChars="0"/>
        <w:jc w:val="left"/>
        <w:textAlignment w:val="baseline"/>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 </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社会保障和就业（类）就业补助（款）职业培训补贴（项）。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 xml:space="preserve"> 年初预算为0万元，支出决算为255.7</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6</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万元，完成年初预算的100%。</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leftChars="0" w:right="0" w:firstLine="630" w:firstLineChars="0"/>
        <w:jc w:val="left"/>
        <w:textAlignment w:val="baseline"/>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社会保障和就业（类）就业补助（款）社会保险补贴（项）。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eastAsia="zh-CN"/>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年初预算为0万元，支出决算为729.7</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万元，完成年初预算的100%。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pP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leftChars="0" w:right="0" w:rightChars="0" w:firstLine="630" w:firstLineChars="0"/>
        <w:jc w:val="left"/>
        <w:textAlignment w:val="baseline"/>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社会保障和就业（类）就业补助（款） 公益性岗位补贴（项）。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年初预算为</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万元，支出决算为</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772.8</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万元，完成年初预算的</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leftChars="0" w:right="0" w:rightChars="0" w:firstLine="630" w:firstLineChars="0"/>
        <w:jc w:val="left"/>
        <w:textAlignment w:val="baseline"/>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社会保障和就业（类）其他社会保障和就业支出（款）其他社会保障和就业支出（项）。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年初预算为</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万元，支出决算为</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1054.6</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7</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万元，完成年初预算的</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leftChars="0" w:right="0" w:rightChars="0" w:firstLine="630" w:firstLineChars="0"/>
        <w:jc w:val="left"/>
        <w:textAlignment w:val="baseline"/>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医疗卫生与计划生育支出（类）医疗救助（款）其他医疗救助支出（项）。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年初预算为</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万元，支出决算为</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41.2</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万元，完成年初预算的</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leftChars="0" w:right="0" w:rightChars="0" w:firstLine="630" w:firstLineChars="0"/>
        <w:jc w:val="left"/>
        <w:textAlignment w:val="baseline"/>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农林水支出（类）扶贫（款）一般行政管理事务（项）。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default"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年初预算为</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万元，支出决算为</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3.9</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万元，完成年初预算的</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leftChars="0" w:right="0" w:rightChars="0" w:firstLine="630" w:firstLineChars="0"/>
        <w:jc w:val="left"/>
        <w:textAlignment w:val="baseline"/>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年初预算为</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13.02</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万元，支出决算为</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15.3</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万元，完成年初预算的</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117.89</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%。决算数大于预算数的主要原因是201</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leftChars="0" w:right="0" w:rightChars="0" w:firstLine="630" w:firstLineChars="0"/>
        <w:jc w:val="left"/>
        <w:textAlignment w:val="baseline"/>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教育支出（类）职业教育（款）  其他职业教育支出（项）。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default"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年初预算为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60.00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463.5</w:t>
      </w:r>
      <w:r>
        <w:rPr>
          <w:rFonts w:hint="eastAsia" w:asciiTheme="minorEastAsia" w:hAnsiTheme="minorEastAsia" w:cstheme="minorEastAsia"/>
          <w:i w:val="0"/>
          <w:caps w:val="0"/>
          <w:color w:val="373737"/>
          <w:spacing w:val="0"/>
          <w:sz w:val="28"/>
          <w:szCs w:val="28"/>
          <w:shd w:val="clear" w:fill="FFFFFF"/>
          <w:vertAlign w:val="baseline"/>
          <w:lang w:val="en-US" w:eastAsia="zh-CN"/>
        </w:rPr>
        <w:t>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345.5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t>118.02</w:t>
      </w:r>
      <w:r>
        <w:rPr>
          <w:rFonts w:hint="eastAsia" w:asciiTheme="minorEastAsia" w:hAnsiTheme="minorEastAsia" w:eastAsiaTheme="minorEastAsia" w:cstheme="minorEastAsia"/>
          <w:b w:val="0"/>
          <w:bCs/>
          <w:i w:val="0"/>
          <w:caps w:val="0"/>
          <w:color w:val="373737"/>
          <w:spacing w:val="0"/>
          <w:sz w:val="28"/>
          <w:szCs w:val="28"/>
          <w:shd w:val="clear" w:fill="FFFFFF"/>
          <w:vertAlign w:val="baseline"/>
        </w:rPr>
        <w:t>万元</w:t>
      </w:r>
      <w:r>
        <w:rPr>
          <w:rFonts w:hint="eastAsia" w:asciiTheme="minorEastAsia" w:hAnsiTheme="minorEastAsia" w:eastAsiaTheme="minorEastAsia" w:cstheme="minorEastAsia"/>
          <w:i w:val="0"/>
          <w:caps w:val="0"/>
          <w:color w:val="373737"/>
          <w:spacing w:val="0"/>
          <w:sz w:val="28"/>
          <w:szCs w:val="28"/>
          <w:shd w:val="clear" w:fill="FFFFFF"/>
          <w:vertAlign w:val="baseline"/>
        </w:rPr>
        <w:t>，主要包括：办公费、印刷费、水费、电费、邮电费、取暖费、物业费、差旅费、维修（护）费、专用材料费、劳务费、工会经费、福利费、其他交通费用、办公设备购置。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2.95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2.95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%，其中：</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费支出决算为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2.9</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万元，完成预算的</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%；公务接待费支出决算为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0.05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万元，完成预</w:t>
      </w:r>
      <w:r>
        <w:rPr>
          <w:rFonts w:hint="eastAsia" w:asciiTheme="minorEastAsia" w:hAnsiTheme="minorEastAsia" w:eastAsiaTheme="minorEastAsia" w:cstheme="minorEastAsia"/>
          <w:i w:val="0"/>
          <w:caps w:val="0"/>
          <w:color w:val="373737"/>
          <w:spacing w:val="0"/>
          <w:sz w:val="28"/>
          <w:szCs w:val="28"/>
          <w:shd w:val="clear" w:fill="FFFFFF"/>
          <w:vertAlign w:val="baseline"/>
        </w:rPr>
        <w:t>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加</w:t>
      </w:r>
      <w:r>
        <w:rPr>
          <w:rFonts w:hint="eastAsia" w:asciiTheme="minorEastAsia" w:hAnsiTheme="minorEastAsia" w:cstheme="minorEastAsia"/>
          <w:i w:val="0"/>
          <w:caps w:val="0"/>
          <w:color w:val="373737"/>
          <w:spacing w:val="0"/>
          <w:sz w:val="28"/>
          <w:szCs w:val="28"/>
          <w:shd w:val="clear" w:fill="FFFFFF"/>
          <w:vertAlign w:val="baseline"/>
          <w:lang w:val="en-US" w:eastAsia="zh-CN"/>
        </w:rPr>
        <w:t>2.79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增加</w:t>
      </w:r>
      <w:r>
        <w:rPr>
          <w:rFonts w:hint="eastAsia" w:asciiTheme="minorEastAsia" w:hAnsiTheme="minorEastAsia" w:cstheme="minorEastAsia"/>
          <w:i w:val="0"/>
          <w:caps w:val="0"/>
          <w:color w:val="373737"/>
          <w:spacing w:val="0"/>
          <w:sz w:val="28"/>
          <w:szCs w:val="28"/>
          <w:shd w:val="clear" w:fill="FFFFFF"/>
          <w:vertAlign w:val="baseline"/>
          <w:lang w:val="en-US" w:eastAsia="zh-CN"/>
        </w:rPr>
        <w:t>94.7</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2.9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业务量增加，严格执行省市工作要求</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0.05</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67.11</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b w:val="0"/>
          <w:bCs w:val="0"/>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出决算</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万元，占</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2.9</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万元，占</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98.3</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%；公务接待费支出决算</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0.05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万元，占</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1.7</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b w:val="0"/>
          <w:bCs w:val="0"/>
          <w:i w:val="0"/>
          <w:caps w:val="0"/>
          <w:color w:val="333333"/>
          <w:spacing w:val="0"/>
          <w:sz w:val="28"/>
          <w:szCs w:val="28"/>
        </w:rPr>
      </w:pPr>
      <w:r>
        <w:rPr>
          <w:rStyle w:val="5"/>
          <w:rFonts w:hint="eastAsia" w:asciiTheme="minorEastAsia" w:hAnsiTheme="minorEastAsia" w:eastAsiaTheme="minorEastAsia" w:cstheme="minorEastAsia"/>
          <w:b w:val="0"/>
          <w:bCs w:val="0"/>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支出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b w:val="0"/>
          <w:bCs w:val="0"/>
          <w:i w:val="0"/>
          <w:caps w:val="0"/>
          <w:color w:val="333333"/>
          <w:spacing w:val="0"/>
          <w:sz w:val="28"/>
          <w:szCs w:val="28"/>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（境）团组</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个，累计</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b w:val="0"/>
          <w:bCs w:val="0"/>
          <w:i w:val="0"/>
          <w:caps w:val="0"/>
          <w:color w:val="333333"/>
          <w:spacing w:val="0"/>
          <w:sz w:val="28"/>
          <w:szCs w:val="28"/>
        </w:rPr>
      </w:pPr>
      <w:r>
        <w:rPr>
          <w:rStyle w:val="5"/>
          <w:rFonts w:hint="eastAsia" w:asciiTheme="minorEastAsia" w:hAnsiTheme="minorEastAsia" w:eastAsiaTheme="minorEastAsia" w:cstheme="minorEastAsia"/>
          <w:b w:val="0"/>
          <w:bCs w:val="0"/>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支出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2.9</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val="0"/>
          <w:bCs w:val="0"/>
          <w:i w:val="0"/>
          <w:caps w:val="0"/>
          <w:color w:val="373737"/>
          <w:spacing w:val="0"/>
          <w:sz w:val="28"/>
          <w:szCs w:val="28"/>
          <w:shd w:val="clear" w:fill="FFFFFF"/>
          <w:vertAlign w:val="baseline"/>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支出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2.9</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公务用车保有量</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1</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val="0"/>
          <w:bCs w:val="0"/>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支出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0.05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val="0"/>
          <w:bCs w:val="0"/>
          <w:i w:val="0"/>
          <w:caps w:val="0"/>
          <w:color w:val="373737"/>
          <w:spacing w:val="0"/>
          <w:sz w:val="28"/>
          <w:szCs w:val="28"/>
          <w:shd w:val="clear" w:fill="FFFFFF"/>
          <w:vertAlign w:val="baseline"/>
        </w:rPr>
        <w:t>0</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万元，国内公务接待批次</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3</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个，国内公务接待人次</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15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val="0"/>
          <w:bCs w:val="0"/>
          <w:i w:val="0"/>
          <w:caps w:val="0"/>
          <w:color w:val="373737"/>
          <w:spacing w:val="0"/>
          <w:sz w:val="28"/>
          <w:szCs w:val="28"/>
          <w:shd w:val="clear" w:fill="FFFFFF"/>
          <w:vertAlign w:val="baseline"/>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val="0"/>
          <w:bCs w:val="0"/>
          <w:i w:val="0"/>
          <w:caps w:val="0"/>
          <w:color w:val="373737"/>
          <w:spacing w:val="0"/>
          <w:sz w:val="28"/>
          <w:szCs w:val="28"/>
          <w:shd w:val="clear" w:fill="FFFFFF"/>
          <w:vertAlign w:val="baseline"/>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val="0"/>
          <w:bCs w:val="0"/>
          <w:i w:val="0"/>
          <w:caps w:val="0"/>
          <w:color w:val="373737"/>
          <w:spacing w:val="0"/>
          <w:sz w:val="28"/>
          <w:szCs w:val="28"/>
          <w:shd w:val="clear" w:fill="FFFFFF"/>
          <w:vertAlign w:val="baseline"/>
        </w:rPr>
        <w:t>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463.52</w:t>
      </w:r>
      <w:r>
        <w:rPr>
          <w:rFonts w:hint="eastAsia" w:asciiTheme="minorEastAsia" w:hAnsiTheme="minorEastAsia" w:eastAsiaTheme="minorEastAsia" w:cstheme="minorEastAsia"/>
          <w:color w:val="333333"/>
          <w:sz w:val="28"/>
          <w:szCs w:val="28"/>
        </w:rPr>
        <w:t>万元，比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w:t>
      </w:r>
      <w:r>
        <w:rPr>
          <w:rFonts w:hint="eastAsia" w:asciiTheme="minorEastAsia" w:hAnsiTheme="minorEastAsia" w:cstheme="minorEastAsia"/>
          <w:color w:val="333333"/>
          <w:sz w:val="28"/>
          <w:szCs w:val="28"/>
          <w:lang w:val="en-US" w:eastAsia="zh-CN"/>
        </w:rPr>
        <w:t>152.11</w:t>
      </w:r>
      <w:r>
        <w:rPr>
          <w:rFonts w:hint="eastAsia" w:asciiTheme="minorEastAsia" w:hAnsiTheme="minorEastAsia" w:eastAsiaTheme="minorEastAsia" w:cstheme="minorEastAsia"/>
          <w:color w:val="333333"/>
          <w:sz w:val="28"/>
          <w:szCs w:val="28"/>
        </w:rPr>
        <w:t>万元，增长</w:t>
      </w:r>
      <w:r>
        <w:rPr>
          <w:rFonts w:hint="eastAsia" w:asciiTheme="minorEastAsia" w:hAnsiTheme="minorEastAsia" w:cstheme="minorEastAsia"/>
          <w:color w:val="333333"/>
          <w:sz w:val="28"/>
          <w:szCs w:val="28"/>
          <w:lang w:val="en-US" w:eastAsia="zh-CN"/>
        </w:rPr>
        <w:t>32.82</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职工</w:t>
      </w:r>
      <w:r>
        <w:rPr>
          <w:rFonts w:hint="eastAsia" w:asciiTheme="minorEastAsia" w:hAnsiTheme="minorEastAsia" w:eastAsiaTheme="minorEastAsia" w:cstheme="minorEastAsia"/>
          <w:i w:val="0"/>
          <w:caps w:val="0"/>
          <w:color w:val="373737"/>
          <w:spacing w:val="0"/>
          <w:sz w:val="28"/>
          <w:szCs w:val="28"/>
          <w:shd w:val="clear" w:fill="FFFFFF"/>
          <w:vertAlign w:val="baseline"/>
        </w:rPr>
        <w:t>工资</w:t>
      </w:r>
      <w:r>
        <w:rPr>
          <w:rFonts w:hint="eastAsia" w:asciiTheme="minorEastAsia" w:hAnsiTheme="minorEastAsia" w:cstheme="minorEastAsia"/>
          <w:i w:val="0"/>
          <w:caps w:val="0"/>
          <w:color w:val="373737"/>
          <w:spacing w:val="0"/>
          <w:sz w:val="28"/>
          <w:szCs w:val="28"/>
          <w:shd w:val="clear" w:fill="FFFFFF"/>
          <w:vertAlign w:val="baseline"/>
          <w:lang w:eastAsia="zh-CN"/>
        </w:rPr>
        <w:t>和离退休费增加，</w:t>
      </w:r>
      <w:r>
        <w:rPr>
          <w:rFonts w:hint="eastAsia" w:asciiTheme="minorEastAsia" w:hAnsiTheme="minorEastAsia" w:eastAsiaTheme="minorEastAsia" w:cstheme="minorEastAsia"/>
          <w:i w:val="0"/>
          <w:caps w:val="0"/>
          <w:color w:val="373737"/>
          <w:spacing w:val="0"/>
          <w:sz w:val="28"/>
          <w:szCs w:val="28"/>
          <w:shd w:val="clear" w:fill="FFFFFF"/>
          <w:vertAlign w:val="baseline"/>
        </w:rPr>
        <w:t>相应的住房公积金、住房提租补贴的缴</w:t>
      </w:r>
      <w:r>
        <w:rPr>
          <w:rFonts w:hint="eastAsia" w:asciiTheme="minorEastAsia" w:hAnsiTheme="minorEastAsia" w:cstheme="minorEastAsia"/>
          <w:i w:val="0"/>
          <w:caps w:val="0"/>
          <w:color w:val="373737"/>
          <w:spacing w:val="0"/>
          <w:sz w:val="28"/>
          <w:szCs w:val="28"/>
          <w:shd w:val="clear" w:fill="FFFFFF"/>
          <w:vertAlign w:val="baseline"/>
          <w:lang w:eastAsia="zh-CN"/>
        </w:rPr>
        <w:t>费</w:t>
      </w:r>
      <w:r>
        <w:rPr>
          <w:rFonts w:hint="eastAsia" w:asciiTheme="minorEastAsia" w:hAnsiTheme="minorEastAsia" w:eastAsiaTheme="minorEastAsia" w:cstheme="minorEastAsia"/>
          <w:i w:val="0"/>
          <w:caps w:val="0"/>
          <w:color w:val="373737"/>
          <w:spacing w:val="0"/>
          <w:sz w:val="28"/>
          <w:szCs w:val="28"/>
          <w:shd w:val="clear" w:fill="FFFFFF"/>
          <w:vertAlign w:val="baseline"/>
        </w:rPr>
        <w:t>比例也随之增加</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 0 万元。从评价情况来看，本部门提升绩效评价的效果。</w:t>
      </w: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A0D54B"/>
    <w:multiLevelType w:val="singleLevel"/>
    <w:tmpl w:val="CAA0D54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08F3B39"/>
    <w:rsid w:val="01340F75"/>
    <w:rsid w:val="03FE7F0E"/>
    <w:rsid w:val="085670C9"/>
    <w:rsid w:val="098217C0"/>
    <w:rsid w:val="0D1105D7"/>
    <w:rsid w:val="0E764D38"/>
    <w:rsid w:val="0E980DC7"/>
    <w:rsid w:val="0F882EAF"/>
    <w:rsid w:val="1653190C"/>
    <w:rsid w:val="179B676B"/>
    <w:rsid w:val="1CFB22BC"/>
    <w:rsid w:val="218365C8"/>
    <w:rsid w:val="26823214"/>
    <w:rsid w:val="2A054FEB"/>
    <w:rsid w:val="2DE7389C"/>
    <w:rsid w:val="30104EA2"/>
    <w:rsid w:val="360725CF"/>
    <w:rsid w:val="368643F4"/>
    <w:rsid w:val="3B2E0706"/>
    <w:rsid w:val="3DDC6AB6"/>
    <w:rsid w:val="419008B3"/>
    <w:rsid w:val="5C0E34B2"/>
    <w:rsid w:val="615B492B"/>
    <w:rsid w:val="62763A6A"/>
    <w:rsid w:val="63C322A3"/>
    <w:rsid w:val="6B6E45D7"/>
    <w:rsid w:val="6BC52739"/>
    <w:rsid w:val="763C3B43"/>
    <w:rsid w:val="768870B2"/>
    <w:rsid w:val="7846284D"/>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圣德堡小子</cp:lastModifiedBy>
  <dcterms:modified xsi:type="dcterms:W3CDTF">2019-09-18T12:47:07Z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